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E" w:rsidRDefault="00E30B88">
      <w:pPr>
        <w:rPr>
          <w:rFonts w:ascii="Arial" w:hAnsi="Arial" w:cs="Arial"/>
          <w:b/>
          <w:bCs/>
          <w:color w:val="800000"/>
          <w:kern w:val="36"/>
          <w:sz w:val="21"/>
          <w:szCs w:val="21"/>
        </w:rPr>
      </w:pPr>
      <w:r>
        <w:rPr>
          <w:rFonts w:ascii="Arial" w:hAnsi="Arial" w:cs="Arial"/>
          <w:b/>
          <w:bCs/>
          <w:color w:val="800000"/>
          <w:kern w:val="36"/>
          <w:sz w:val="21"/>
          <w:szCs w:val="21"/>
        </w:rPr>
        <w:t>ПИСЬМО Минфина РФ от 12.12.2014 N 03-11-09/64113 "ЕНВД: ПО ВОПРОСУ ПРИМЕНЕНИЯ СИСТЕМЫ В ПРЕДПРИНИМАТЕЛЬСКОЙ ДЕЯТЕЛЬНОСТИ, ЗАКЛЮЧАЮЩЕЙСЯ В ПРЕДОСТАВЛЕНИИ ОПРЕДЕЛЕННОГО РОДА АВТОМАТОВ НАСЕЛЕНИЮ ВО ВРЕМЕННОЕ ПОЛЬЗОВАНИЕ"</w:t>
      </w:r>
    </w:p>
    <w:p w:rsidR="00E30B88" w:rsidRDefault="00E30B88">
      <w:pPr>
        <w:rPr>
          <w:rFonts w:ascii="Arial" w:hAnsi="Arial" w:cs="Arial"/>
          <w:b/>
          <w:bCs/>
          <w:color w:val="800000"/>
          <w:kern w:val="36"/>
          <w:sz w:val="21"/>
          <w:szCs w:val="21"/>
        </w:rPr>
      </w:pPr>
    </w:p>
    <w:p w:rsidR="00E30B88" w:rsidRPr="00E30B88" w:rsidRDefault="00E30B88" w:rsidP="00E30B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E30B88">
        <w:rPr>
          <w:rFonts w:ascii="Arial" w:eastAsia="Times New Roman" w:hAnsi="Arial" w:cs="Arial"/>
          <w:noProof/>
          <w:sz w:val="20"/>
          <w:szCs w:val="20"/>
          <w:vertAlign w:val="superscript"/>
          <w:lang w:eastAsia="ru-RU"/>
        </w:rPr>
        <w:drawing>
          <wp:inline distT="0" distB="0" distL="0" distR="0">
            <wp:extent cx="990600" cy="1162050"/>
            <wp:effectExtent l="0" t="0" r="0" b="0"/>
            <wp:docPr id="1" name="Рисунок 1" descr="https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88" w:rsidRPr="00E30B88" w:rsidRDefault="00E30B88" w:rsidP="00E30B88">
      <w:pPr>
        <w:spacing w:after="0" w:line="240" w:lineRule="auto"/>
        <w:ind w:right="225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30B8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МИНИСТЕРСТВО ФИНАНСОВ РОССИЙСКОЙ ФЕДЕРАЦИИ</w:t>
      </w:r>
    </w:p>
    <w:p w:rsidR="00E30B88" w:rsidRPr="00E30B88" w:rsidRDefault="00E30B88" w:rsidP="00E30B88">
      <w:pPr>
        <w:spacing w:after="0" w:line="240" w:lineRule="auto"/>
        <w:ind w:right="225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30B8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ПИСЬМО</w:t>
      </w:r>
      <w:r w:rsidRPr="00E30B88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>от 12 декабря 2014 г. N 03-11-09/64113</w:t>
      </w:r>
    </w:p>
    <w:p w:rsidR="00E30B88" w:rsidRPr="00E30B88" w:rsidRDefault="00E30B88" w:rsidP="00E30B88">
      <w:pPr>
        <w:spacing w:after="0" w:line="240" w:lineRule="auto"/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</w:pPr>
      <w:r w:rsidRPr="00E30B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 </w:t>
      </w:r>
      <w:r w:rsidRPr="00E30B8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>    Департамент налоговой и таможенно-тарифной политики рассмотрел письмо по вопросу применения системы налогообложения в виде единого налога на вмененный доход для отдельных видов деятельности и сообщает.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>    </w:t>
      </w:r>
      <w:bookmarkStart w:id="0" w:name="l14"/>
      <w:bookmarkEnd w:id="0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В соответствии с подпунктами </w:t>
      </w:r>
      <w:hyperlink r:id="rId5" w:anchor="l9378" w:history="1">
        <w:r w:rsidRPr="00E30B88">
          <w:rPr>
            <w:rFonts w:ascii="Tahoma" w:eastAsia="Times New Roman" w:hAnsi="Tahoma" w:cs="Tahoma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 и </w:t>
      </w:r>
      <w:hyperlink r:id="rId6" w:anchor="l9379" w:history="1">
        <w:r w:rsidRPr="00E30B88">
          <w:rPr>
            <w:rFonts w:ascii="Tahoma" w:eastAsia="Times New Roman" w:hAnsi="Tahoma" w:cs="Tahoma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 пункта 2 статьи 346.26 Налогового кодекса Российской Федерации (далее - Кодекс) 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районов, городских округов, законодательных (представительных) органов государственной власти городов федерального значения Москвы и Санкт-Петербурга в отношении предприним</w:t>
      </w:r>
      <w:bookmarkStart w:id="1" w:name="_GoBack"/>
      <w:bookmarkEnd w:id="1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ательской </w:t>
      </w:r>
      <w:bookmarkStart w:id="2" w:name="l18"/>
      <w:bookmarkEnd w:id="2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деятельности в сфере розничной торговли, осуществляемой через магазины и павильоны с площадью торгового зала не более 150 квадратных </w:t>
      </w:r>
      <w:bookmarkStart w:id="3" w:name="l15"/>
      <w:bookmarkEnd w:id="3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>метров по каждому объекту организации торговли, через объекты стационарной торговой сети, не имеющей торговых залов, а также объекты нестационарной торговой сети.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 xml:space="preserve">    Согласно </w:t>
      </w:r>
      <w:hyperlink r:id="rId7" w:anchor="l9660" w:history="1">
        <w:r w:rsidRPr="00E30B88">
          <w:rPr>
            <w:rFonts w:ascii="Tahoma" w:eastAsia="Times New Roman" w:hAnsi="Tahoma" w:cs="Tahoma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статье 346.27</w:t>
        </w:r>
      </w:hyperlink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 Кодекса реализация через торговые автоматы товаров и (или) продукции общественного питания, изготовленной в этих торговых автоматах, относится к розничной торговле.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 xml:space="preserve">    Следовательно, предпринимательская деятельность по реализации товаров или продукции общественного питания с использованием торговых автоматов, может </w:t>
      </w:r>
      <w:bookmarkStart w:id="4" w:name="l19"/>
      <w:bookmarkEnd w:id="4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>облагаться единым налогом на вмененный доход.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>    </w:t>
      </w:r>
      <w:bookmarkStart w:id="5" w:name="l16"/>
      <w:bookmarkEnd w:id="5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При этом применение системы налогообложения в виде единого налога на вмененный доход в отношении предпринимательской деятельности, заключающейся в предоставлении определенного рода автоматов населению во временное пользование для, например, самостоятельной уборки (помывки) автомобиля, чистки обуви, изготовления ксерокопий и фотографий и т.д. </w:t>
      </w:r>
      <w:hyperlink r:id="rId8" w:anchor="l9343" w:history="1">
        <w:r w:rsidRPr="00E30B88">
          <w:rPr>
            <w:rFonts w:ascii="Tahoma" w:eastAsia="Times New Roman" w:hAnsi="Tahoma" w:cs="Tahoma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главой 26.3</w:t>
        </w:r>
      </w:hyperlink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 Кодекса не предусмотрено.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 xml:space="preserve">    Доходы, получаемые от использования перечисленных автоматических средств потребителями, должны облагаться в </w:t>
      </w:r>
      <w:bookmarkStart w:id="6" w:name="l20"/>
      <w:bookmarkEnd w:id="6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>соответствии с иными режимами налогообложения.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>    </w:t>
      </w:r>
      <w:bookmarkStart w:id="7" w:name="l17"/>
      <w:bookmarkEnd w:id="7"/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Вопрос о распространении системы налогообложения в виде единого налога на вмененный доход для отдельных видов деятельности на предпринимательскую деятельность в сфере оказания услуг потребителям через установленные автоматические средства с использованием для исчисления налога физического показателя базовой доходности "количество установленных аппаратов (автоматов)" будет рассмотрен при подготовке изменений и дополнений в </w:t>
      </w:r>
      <w:hyperlink r:id="rId9" w:anchor="l9343" w:history="1">
        <w:r w:rsidRPr="00E30B88">
          <w:rPr>
            <w:rFonts w:ascii="Tahoma" w:eastAsia="Times New Roman" w:hAnsi="Tahoma" w:cs="Tahoma"/>
            <w:color w:val="0066CC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главу 26.3</w:t>
        </w:r>
      </w:hyperlink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t xml:space="preserve"> Кодекса.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  <w:t> </w:t>
      </w:r>
    </w:p>
    <w:p w:rsidR="00E30B88" w:rsidRPr="00E30B88" w:rsidRDefault="00E30B88" w:rsidP="00E30B88">
      <w:pPr>
        <w:spacing w:after="100" w:line="240" w:lineRule="auto"/>
        <w:jc w:val="right"/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</w:pPr>
      <w:r w:rsidRPr="00E30B88">
        <w:rPr>
          <w:rFonts w:ascii="Tahoma" w:eastAsia="Times New Roman" w:hAnsi="Tahoma" w:cs="Tahoma"/>
          <w:i/>
          <w:iCs/>
          <w:sz w:val="28"/>
          <w:szCs w:val="28"/>
          <w:vertAlign w:val="superscript"/>
          <w:lang w:eastAsia="ru-RU"/>
        </w:rPr>
        <w:lastRenderedPageBreak/>
        <w:t>Директор Департамента</w:t>
      </w:r>
      <w:r w:rsidRPr="00E30B88">
        <w:rPr>
          <w:rFonts w:ascii="Tahoma" w:eastAsia="Times New Roman" w:hAnsi="Tahoma" w:cs="Tahoma"/>
          <w:sz w:val="28"/>
          <w:szCs w:val="28"/>
          <w:vertAlign w:val="superscript"/>
          <w:lang w:eastAsia="ru-RU"/>
        </w:rPr>
        <w:br/>
      </w:r>
      <w:r w:rsidRPr="00E30B88">
        <w:rPr>
          <w:rFonts w:ascii="Tahoma" w:eastAsia="Times New Roman" w:hAnsi="Tahoma" w:cs="Tahoma"/>
          <w:i/>
          <w:iCs/>
          <w:sz w:val="28"/>
          <w:szCs w:val="28"/>
          <w:vertAlign w:val="superscript"/>
          <w:lang w:eastAsia="ru-RU"/>
        </w:rPr>
        <w:t>И.В.ТРУНИН</w:t>
      </w:r>
    </w:p>
    <w:p w:rsidR="00E30B88" w:rsidRPr="00E30B88" w:rsidRDefault="00E30B88">
      <w:pPr>
        <w:rPr>
          <w:rFonts w:ascii="Tahoma" w:hAnsi="Tahoma" w:cs="Tahoma"/>
          <w:sz w:val="28"/>
          <w:szCs w:val="28"/>
        </w:rPr>
      </w:pPr>
    </w:p>
    <w:sectPr w:rsidR="00E30B88" w:rsidRPr="00E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8"/>
    <w:rsid w:val="004D106D"/>
    <w:rsid w:val="007617FE"/>
    <w:rsid w:val="00E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0F73-77D5-4845-B0A5-5372EF6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B88"/>
    <w:pPr>
      <w:spacing w:after="0" w:line="240" w:lineRule="auto"/>
      <w:ind w:right="15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0B88"/>
    <w:rPr>
      <w:color w:val="0066CC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3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7744">
                  <w:marLeft w:val="35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49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414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2414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/2414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ferent.ru/1/24149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referent.ru/1/241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Павленко</dc:creator>
  <cp:keywords/>
  <dc:description/>
  <cp:lastModifiedBy>Юлия Павленко</cp:lastModifiedBy>
  <cp:revision>1</cp:revision>
  <dcterms:created xsi:type="dcterms:W3CDTF">2017-10-10T10:51:00Z</dcterms:created>
  <dcterms:modified xsi:type="dcterms:W3CDTF">2017-10-10T10:54:00Z</dcterms:modified>
</cp:coreProperties>
</file>